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18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186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186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18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</w:t>
      </w:r>
      <w:r w:rsidR="0019647F">
        <w:rPr>
          <w:rFonts w:ascii="Times New Roman" w:hAnsi="Times New Roman" w:cs="Times New Roman"/>
          <w:sz w:val="28"/>
          <w:szCs w:val="28"/>
        </w:rPr>
        <w:lastRenderedPageBreak/>
        <w:t xml:space="preserve">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</w:t>
      </w:r>
      <w:r w:rsidR="00186B5E">
        <w:rPr>
          <w:rFonts w:ascii="Times New Roman" w:hAnsi="Times New Roman" w:cs="Times New Roman"/>
          <w:sz w:val="28"/>
          <w:szCs w:val="28"/>
        </w:rPr>
        <w:t>е</w:t>
      </w:r>
      <w:r w:rsidR="00FA3027">
        <w:rPr>
          <w:rFonts w:ascii="Times New Roman" w:hAnsi="Times New Roman" w:cs="Times New Roman"/>
          <w:sz w:val="28"/>
          <w:szCs w:val="28"/>
        </w:rPr>
        <w:t xml:space="preserve">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186B5E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186B5E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186B5E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186B5E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186B5E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186B5E">
        <w:rPr>
          <w:rFonts w:ascii="Times New Roman" w:hAnsi="Times New Roman" w:cs="Times New Roman"/>
          <w:sz w:val="28"/>
          <w:szCs w:val="28"/>
        </w:rPr>
        <w:t>.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186B5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 xml:space="preserve">, так и </w:t>
      </w:r>
      <w:bookmarkStart w:id="0" w:name="_GoBack"/>
      <w:r w:rsidR="00A269A5">
        <w:rPr>
          <w:rFonts w:ascii="Times New Roman" w:hAnsi="Times New Roman" w:cs="Times New Roman"/>
          <w:sz w:val="28"/>
          <w:szCs w:val="28"/>
        </w:rPr>
        <w:t>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 w:rsidP="0018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186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E1" w:rsidRDefault="00054AE1" w:rsidP="0059770F">
      <w:pPr>
        <w:spacing w:after="0" w:line="240" w:lineRule="auto"/>
      </w:pPr>
      <w:r>
        <w:separator/>
      </w:r>
    </w:p>
  </w:endnote>
  <w:endnote w:type="continuationSeparator" w:id="0">
    <w:p w:rsidR="00054AE1" w:rsidRDefault="00054AE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E1" w:rsidRDefault="00054AE1" w:rsidP="0059770F">
      <w:pPr>
        <w:spacing w:after="0" w:line="240" w:lineRule="auto"/>
      </w:pPr>
      <w:r>
        <w:separator/>
      </w:r>
    </w:p>
  </w:footnote>
  <w:footnote w:type="continuationSeparator" w:id="0">
    <w:p w:rsidR="00054AE1" w:rsidRDefault="00054AE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5E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24B0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6CD1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094457-E294-4832-9651-84B9D25F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2</cp:revision>
  <cp:lastPrinted>2022-05-30T15:39:00Z</cp:lastPrinted>
  <dcterms:created xsi:type="dcterms:W3CDTF">2023-02-20T10:43:00Z</dcterms:created>
  <dcterms:modified xsi:type="dcterms:W3CDTF">2023-02-20T10:43:00Z</dcterms:modified>
</cp:coreProperties>
</file>